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Итоги</w:t>
      </w:r>
      <w:r>
        <w:rPr>
          <w:rFonts w:ascii="Times New Roman" w:hAnsi="Times New Roman"/>
          <w:b/>
          <w:bCs/>
          <w:sz w:val="28"/>
          <w:szCs w:val="28"/>
        </w:rPr>
        <w:t xml:space="preserve"> контрольно-ревизионной деятельности</w:t>
      </w:r>
      <w:r>
        <w:rPr>
          <w:rFonts w:ascii="Times New Roman" w:hAnsi="Times New Roman"/>
          <w:b/>
          <w:bCs/>
          <w:sz w:val="28"/>
          <w:szCs w:val="28"/>
        </w:rPr>
        <w:t xml:space="preserve"> Управления Федерального казначейства по Орловской области </w:t>
      </w:r>
      <w:r>
        <w:rPr>
          <w:rFonts w:ascii="Times New Roman" w:hAnsi="Times New Roman"/>
          <w:b/>
          <w:bCs/>
          <w:sz w:val="28"/>
          <w:szCs w:val="28"/>
        </w:rPr>
        <w:t xml:space="preserve">за </w:t>
      </w:r>
      <w:r>
        <w:rPr>
          <w:rFonts w:ascii="Times New Roman" w:hAnsi="Times New Roman"/>
          <w:b/>
          <w:bCs/>
          <w:sz w:val="28"/>
          <w:szCs w:val="28"/>
        </w:rPr>
        <w:t xml:space="preserve">1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полугодие</w:t>
      </w:r>
      <w:r>
        <w:rPr>
          <w:rFonts w:ascii="Times New Roman" w:hAnsi="Times New Roman"/>
          <w:b/>
          <w:bCs/>
          <w:sz w:val="28"/>
          <w:szCs w:val="28"/>
        </w:rPr>
        <w:t xml:space="preserve"> 202</w:t>
      </w:r>
      <w:r>
        <w:rPr>
          <w:rFonts w:ascii="Times New Roman" w:hAnsi="Times New Roman"/>
          <w:b/>
          <w:bCs/>
          <w:sz w:val="28"/>
          <w:szCs w:val="28"/>
        </w:rPr>
        <w:t xml:space="preserve">6</w:t>
      </w:r>
      <w:r>
        <w:rPr>
          <w:rFonts w:ascii="Times New Roman" w:hAnsi="Times New Roman"/>
          <w:b/>
          <w:bCs/>
          <w:sz w:val="28"/>
          <w:szCs w:val="28"/>
        </w:rPr>
        <w:t xml:space="preserve"> год</w:t>
      </w:r>
      <w:r>
        <w:rPr>
          <w:rFonts w:ascii="Times New Roman" w:hAnsi="Times New Roman"/>
          <w:b/>
          <w:bCs/>
          <w:sz w:val="28"/>
          <w:szCs w:val="28"/>
        </w:rPr>
        <w:t xml:space="preserve">а</w:t>
      </w:r>
      <w:r>
        <w:rPr>
          <w:rFonts w:ascii="Times New Roman" w:hAnsi="Times New Roman"/>
          <w:b/>
          <w:bCs/>
          <w:sz w:val="28"/>
          <w:szCs w:val="28"/>
        </w:rPr>
        <w:t xml:space="preserve">.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rPr>
          <w:rFonts w:ascii="Times New Roman CYR" w:hAnsi="Times New Roman CYR" w:cs="Times New Roman CYR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</w:r>
      <w:r>
        <w:rPr>
          <w:rFonts w:ascii="Times New Roman CYR" w:hAnsi="Times New Roman CYR" w:cs="Times New Roman CYR"/>
          <w:sz w:val="28"/>
          <w:szCs w:val="28"/>
          <w:lang w:eastAsia="en-US"/>
        </w:rPr>
      </w:r>
    </w:p>
    <w:p>
      <w:pPr>
        <w:jc w:val="center"/>
        <w:rPr>
          <w:rFonts w:ascii="Times New Roman CYR" w:hAnsi="Times New Roman CYR" w:cs="Times New Roman CYR"/>
          <w:sz w:val="28"/>
          <w:szCs w:val="28"/>
          <w:lang w:eastAsia="en-US"/>
        </w:rPr>
      </w:pPr>
      <w:r>
        <w:rPr>
          <w:rFonts w:ascii="Times New Roman CYR" w:hAnsi="Times New Roman CYR" w:cs="Times New Roman CYR"/>
          <w:sz w:val="28"/>
          <w:szCs w:val="28"/>
          <w:lang w:eastAsia="en-US"/>
        </w:rPr>
      </w:r>
      <w:r>
        <w:rPr>
          <w:rFonts w:ascii="Times New Roman CYR" w:hAnsi="Times New Roman CYR" w:cs="Times New Roman CYR"/>
          <w:sz w:val="28"/>
          <w:szCs w:val="28"/>
          <w:lang w:eastAsia="en-US"/>
        </w:rPr>
      </w:r>
    </w:p>
    <w:p>
      <w:pPr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Всего в ходе осуществления контрольной деятельности </w:t>
      </w:r>
      <w:r>
        <w:rPr>
          <w:rFonts w:ascii="Times New Roman" w:hAnsi="Times New Roman"/>
          <w:sz w:val="28"/>
          <w:szCs w:val="28"/>
          <w:lang w:eastAsia="en-US"/>
        </w:rPr>
        <w:t xml:space="preserve">Управлением Федерального казначейства по Орловской области </w:t>
      </w:r>
      <w:r>
        <w:rPr>
          <w:rFonts w:ascii="Times New Roman" w:hAnsi="Times New Roman"/>
          <w:sz w:val="28"/>
          <w:szCs w:val="28"/>
          <w:lang w:eastAsia="en-US"/>
        </w:rPr>
        <w:t xml:space="preserve">за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 xml:space="preserve">1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 xml:space="preserve">полугодие</w:t>
      </w:r>
      <w:r>
        <w:rPr>
          <w:rFonts w:ascii="Times New Roman" w:hAnsi="Times New Roman"/>
          <w:sz w:val="28"/>
          <w:szCs w:val="28"/>
          <w:lang w:eastAsia="en-US"/>
        </w:rPr>
        <w:t xml:space="preserve"> 202</w:t>
      </w:r>
      <w:r>
        <w:rPr>
          <w:rFonts w:ascii="Times New Roman" w:hAnsi="Times New Roman"/>
          <w:sz w:val="28"/>
          <w:szCs w:val="28"/>
          <w:lang w:eastAsia="en-US"/>
        </w:rPr>
        <w:t xml:space="preserve">6</w:t>
      </w:r>
      <w:r>
        <w:rPr>
          <w:rFonts w:ascii="Times New Roman" w:hAnsi="Times New Roman"/>
          <w:sz w:val="28"/>
          <w:szCs w:val="28"/>
          <w:lang w:eastAsia="en-US"/>
        </w:rPr>
        <w:t xml:space="preserve"> года</w:t>
      </w:r>
      <w:r>
        <w:rPr>
          <w:rFonts w:ascii="Times New Roman" w:hAnsi="Times New Roman"/>
          <w:sz w:val="28"/>
          <w:szCs w:val="28"/>
          <w:lang w:eastAsia="en-US"/>
        </w:rPr>
        <w:t xml:space="preserve"> проведен</w:t>
      </w:r>
      <w:r>
        <w:rPr>
          <w:rFonts w:ascii="Times New Roman" w:hAnsi="Times New Roman"/>
          <w:sz w:val="28"/>
          <w:szCs w:val="28"/>
          <w:lang w:eastAsia="en-US"/>
        </w:rPr>
        <w:t xml:space="preserve">о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 xml:space="preserve">9</w:t>
      </w:r>
      <w:r>
        <w:rPr>
          <w:rFonts w:ascii="Times New Roman" w:hAnsi="Times New Roman"/>
          <w:sz w:val="28"/>
          <w:szCs w:val="28"/>
          <w:lang w:eastAsia="en-US"/>
        </w:rPr>
        <w:t xml:space="preserve"> контрольных мероприятий, из них:</w:t>
      </w:r>
      <w:r>
        <w:rPr>
          <w:rFonts w:ascii="Times New Roman" w:hAnsi="Times New Roman"/>
          <w:sz w:val="28"/>
          <w:szCs w:val="28"/>
          <w:lang w:eastAsia="en-US"/>
        </w:rPr>
      </w:r>
    </w:p>
    <w:p>
      <w:pPr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- </w:t>
      </w:r>
      <w:r>
        <w:rPr>
          <w:rFonts w:ascii="Times New Roman" w:hAnsi="Times New Roman"/>
          <w:sz w:val="28"/>
          <w:szCs w:val="28"/>
          <w:lang w:eastAsia="en-US"/>
        </w:rPr>
        <w:t xml:space="preserve">5</w:t>
      </w:r>
      <w:r>
        <w:rPr>
          <w:rFonts w:ascii="Times New Roman" w:hAnsi="Times New Roman"/>
          <w:sz w:val="28"/>
          <w:szCs w:val="28"/>
          <w:lang w:eastAsia="en-US"/>
        </w:rPr>
        <w:t xml:space="preserve"> планов</w:t>
      </w:r>
      <w:r>
        <w:rPr>
          <w:rFonts w:ascii="Times New Roman" w:hAnsi="Times New Roman"/>
          <w:sz w:val="28"/>
          <w:szCs w:val="28"/>
          <w:lang w:eastAsia="en-US"/>
        </w:rPr>
        <w:t xml:space="preserve">ых</w:t>
      </w:r>
      <w:r>
        <w:rPr>
          <w:rFonts w:ascii="Times New Roman" w:hAnsi="Times New Roman"/>
          <w:sz w:val="28"/>
          <w:szCs w:val="28"/>
          <w:lang w:eastAsia="en-US"/>
        </w:rPr>
        <w:t xml:space="preserve"> вы</w:t>
      </w:r>
      <w:r>
        <w:rPr>
          <w:rFonts w:ascii="Times New Roman" w:hAnsi="Times New Roman"/>
          <w:sz w:val="28"/>
          <w:szCs w:val="28"/>
          <w:lang w:eastAsia="en-US"/>
        </w:rPr>
        <w:t xml:space="preserve">ездн</w:t>
      </w:r>
      <w:r>
        <w:rPr>
          <w:rFonts w:ascii="Times New Roman" w:hAnsi="Times New Roman"/>
          <w:sz w:val="28"/>
          <w:szCs w:val="28"/>
          <w:lang w:eastAsia="en-US"/>
        </w:rPr>
        <w:t xml:space="preserve">ых</w:t>
      </w:r>
      <w:r>
        <w:rPr>
          <w:rFonts w:ascii="Times New Roman" w:hAnsi="Times New Roman"/>
          <w:sz w:val="28"/>
          <w:szCs w:val="28"/>
          <w:lang w:eastAsia="en-US"/>
        </w:rPr>
        <w:t xml:space="preserve"> провер</w:t>
      </w:r>
      <w:r>
        <w:rPr>
          <w:rFonts w:ascii="Times New Roman" w:hAnsi="Times New Roman"/>
          <w:sz w:val="28"/>
          <w:szCs w:val="28"/>
          <w:lang w:eastAsia="en-US"/>
        </w:rPr>
        <w:t xml:space="preserve">о</w:t>
      </w:r>
      <w:r>
        <w:rPr>
          <w:rFonts w:ascii="Times New Roman" w:hAnsi="Times New Roman"/>
          <w:sz w:val="28"/>
          <w:szCs w:val="28"/>
          <w:lang w:eastAsia="en-US"/>
        </w:rPr>
        <w:t xml:space="preserve">к</w:t>
      </w:r>
      <w:r>
        <w:rPr>
          <w:rFonts w:ascii="Times New Roman" w:hAnsi="Times New Roman"/>
          <w:sz w:val="28"/>
          <w:szCs w:val="28"/>
          <w:lang w:eastAsia="en-US"/>
        </w:rPr>
        <w:t xml:space="preserve">;</w:t>
      </w:r>
      <w:r>
        <w:rPr>
          <w:rFonts w:ascii="Times New Roman" w:hAnsi="Times New Roman"/>
          <w:sz w:val="28"/>
          <w:szCs w:val="28"/>
          <w:lang w:eastAsia="en-US"/>
        </w:rPr>
      </w:r>
    </w:p>
    <w:p>
      <w:pPr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- 1 внеплановая выездная проверка</w:t>
      </w:r>
      <w:r>
        <w:rPr>
          <w:rFonts w:ascii="Times New Roman" w:hAnsi="Times New Roman"/>
          <w:sz w:val="28"/>
          <w:szCs w:val="28"/>
          <w:lang w:eastAsia="en-US"/>
        </w:rPr>
      </w:r>
    </w:p>
    <w:p>
      <w:pPr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- </w:t>
      </w:r>
      <w:r>
        <w:rPr>
          <w:rFonts w:ascii="Times New Roman" w:hAnsi="Times New Roman"/>
          <w:sz w:val="28"/>
          <w:szCs w:val="28"/>
          <w:lang w:eastAsia="en-US"/>
        </w:rPr>
        <w:t xml:space="preserve">3 плановых </w:t>
      </w:r>
      <w:r>
        <w:rPr>
          <w:rFonts w:ascii="Times New Roman" w:hAnsi="Times New Roman"/>
          <w:sz w:val="28"/>
          <w:szCs w:val="28"/>
          <w:lang w:eastAsia="en-US"/>
        </w:rPr>
        <w:t xml:space="preserve">об</w:t>
      </w:r>
      <w:r>
        <w:rPr>
          <w:rFonts w:ascii="Times New Roman" w:hAnsi="Times New Roman"/>
          <w:sz w:val="28"/>
          <w:szCs w:val="28"/>
          <w:lang w:eastAsia="en-US"/>
        </w:rPr>
        <w:t xml:space="preserve">следовани</w:t>
      </w:r>
      <w:r>
        <w:rPr>
          <w:rFonts w:ascii="Times New Roman" w:hAnsi="Times New Roman"/>
          <w:sz w:val="28"/>
          <w:szCs w:val="28"/>
          <w:lang w:eastAsia="en-US"/>
        </w:rPr>
        <w:t xml:space="preserve">я</w:t>
      </w:r>
      <w:r>
        <w:rPr>
          <w:rFonts w:ascii="Times New Roman" w:hAnsi="Times New Roman"/>
          <w:sz w:val="28"/>
          <w:szCs w:val="28"/>
          <w:lang w:eastAsia="en-US"/>
        </w:rPr>
        <w:t xml:space="preserve">.</w:t>
      </w:r>
      <w:r>
        <w:rPr>
          <w:rFonts w:ascii="Times New Roman" w:hAnsi="Times New Roman"/>
          <w:sz w:val="28"/>
          <w:szCs w:val="28"/>
          <w:lang w:eastAsia="en-US"/>
        </w:rPr>
      </w:r>
    </w:p>
    <w:p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Объем нарушений, выявленных </w:t>
      </w:r>
      <w:r>
        <w:rPr>
          <w:rFonts w:ascii="Times New Roman" w:hAnsi="Times New Roman"/>
          <w:sz w:val="28"/>
          <w:szCs w:val="28"/>
          <w:lang w:eastAsia="en-US"/>
        </w:rPr>
        <w:t xml:space="preserve">Управлением Федерального казначейства по Орловской области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 xml:space="preserve">за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 xml:space="preserve">1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 xml:space="preserve">полугодие</w:t>
      </w:r>
      <w:r>
        <w:rPr>
          <w:rFonts w:ascii="Times New Roman" w:hAnsi="Times New Roman"/>
          <w:sz w:val="28"/>
          <w:szCs w:val="28"/>
          <w:lang w:eastAsia="en-US"/>
        </w:rPr>
        <w:t xml:space="preserve"> 202</w:t>
      </w:r>
      <w:r>
        <w:rPr>
          <w:rFonts w:ascii="Times New Roman" w:hAnsi="Times New Roman"/>
          <w:sz w:val="28"/>
          <w:szCs w:val="28"/>
          <w:lang w:eastAsia="en-US"/>
        </w:rPr>
        <w:t xml:space="preserve">6</w:t>
      </w:r>
      <w:r>
        <w:rPr>
          <w:rFonts w:ascii="Times New Roman" w:hAnsi="Times New Roman"/>
          <w:sz w:val="28"/>
          <w:szCs w:val="28"/>
          <w:lang w:eastAsia="en-US"/>
        </w:rPr>
        <w:t xml:space="preserve"> года</w:t>
      </w:r>
      <w:r>
        <w:rPr>
          <w:rFonts w:ascii="Times New Roman" w:hAnsi="Times New Roman"/>
          <w:sz w:val="28"/>
          <w:szCs w:val="28"/>
          <w:lang w:eastAsia="en-US"/>
        </w:rPr>
        <w:t xml:space="preserve">, составил </w:t>
      </w:r>
      <w:r>
        <w:rPr>
          <w:rFonts w:ascii="Times New Roman" w:hAnsi="Times New Roman"/>
          <w:sz w:val="28"/>
          <w:szCs w:val="28"/>
          <w:lang w:eastAsia="en-US"/>
        </w:rPr>
        <w:t xml:space="preserve">622 456,10023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 xml:space="preserve">тыс. рублей</w:t>
      </w:r>
      <w:r>
        <w:rPr>
          <w:rFonts w:ascii="Times New Roman" w:hAnsi="Times New Roman"/>
          <w:sz w:val="28"/>
          <w:szCs w:val="28"/>
        </w:rPr>
        <w:t xml:space="preserve">, в том числе: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</w:t>
      </w:r>
      <w:r>
        <w:rPr>
          <w:rFonts w:ascii="Times New Roman" w:hAnsi="Times New Roman"/>
          <w:sz w:val="28"/>
          <w:szCs w:val="28"/>
        </w:rPr>
        <w:t xml:space="preserve">н</w:t>
      </w:r>
      <w:r>
        <w:rPr>
          <w:rFonts w:ascii="Times New Roman" w:hAnsi="Times New Roman"/>
          <w:sz w:val="28"/>
          <w:szCs w:val="28"/>
        </w:rPr>
        <w:t xml:space="preserve">еп</w:t>
      </w:r>
      <w:r>
        <w:rPr>
          <w:rFonts w:ascii="Times New Roman" w:hAnsi="Times New Roman"/>
          <w:sz w:val="28"/>
          <w:szCs w:val="28"/>
        </w:rPr>
        <w:t xml:space="preserve">равомерное использование бюджетных средств 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1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756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  <w:t xml:space="preserve">57550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тыс. руб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лей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 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иные нарушения предоставления бюджетных средств – 394 256,93993 тыс. рублей;</w:t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н</w:t>
      </w:r>
      <w:r>
        <w:rPr>
          <w:rFonts w:ascii="Times New Roman" w:hAnsi="Times New Roman"/>
          <w:sz w:val="28"/>
          <w:szCs w:val="28"/>
        </w:rPr>
        <w:t xml:space="preserve">арушения законодательства о контрактной системе в сфере закупок товаров, работ, услуг для обеспечения государственных нужд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226 442,58480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тыс. рублей.</w:t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sz w:val="28"/>
          <w:szCs w:val="28"/>
        </w:rPr>
        <w:t xml:space="preserve">Устранено нарушений на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сумму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1 263,98222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</w:rPr>
        <w:t xml:space="preserve">тыс. </w:t>
      </w:r>
      <w:r>
        <w:rPr>
          <w:rFonts w:ascii="Times New Roman" w:hAnsi="Times New Roman"/>
          <w:color w:val="000000" w:themeColor="text1"/>
          <w:sz w:val="28"/>
        </w:rPr>
        <w:t xml:space="preserve">рублей.</w:t>
      </w:r>
      <w:r>
        <w:rPr>
          <w:rFonts w:ascii="Times New Roman" w:hAnsi="Times New Roman"/>
          <w:color w:val="000000" w:themeColor="text1"/>
          <w:sz w:val="28"/>
        </w:rPr>
      </w:r>
    </w:p>
    <w:p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Должностными лицами Управления </w:t>
      </w:r>
      <w:r>
        <w:rPr>
          <w:rFonts w:ascii="Times New Roman" w:hAnsi="Times New Roman"/>
          <w:sz w:val="28"/>
        </w:rPr>
        <w:t xml:space="preserve">в отчетном периоде составлен</w:t>
      </w:r>
      <w:r>
        <w:rPr>
          <w:rFonts w:ascii="Times New Roman" w:hAnsi="Times New Roman"/>
          <w:sz w:val="28"/>
        </w:rPr>
        <w:t xml:space="preserve">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19</w:t>
      </w:r>
      <w:r>
        <w:rPr>
          <w:rFonts w:ascii="Times New Roman" w:hAnsi="Times New Roman"/>
          <w:sz w:val="28"/>
        </w:rPr>
        <w:t xml:space="preserve"> протокол</w:t>
      </w:r>
      <w:r>
        <w:rPr>
          <w:rFonts w:ascii="Times New Roman" w:hAnsi="Times New Roman"/>
          <w:sz w:val="28"/>
        </w:rPr>
        <w:t xml:space="preserve">ов</w:t>
      </w:r>
      <w:r>
        <w:rPr>
          <w:rFonts w:ascii="Times New Roman" w:hAnsi="Times New Roman"/>
          <w:sz w:val="28"/>
        </w:rPr>
        <w:t xml:space="preserve"> об административных правонарушениях.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Общая сумма </w:t>
      </w:r>
      <w:r>
        <w:rPr>
          <w:rFonts w:ascii="Times New Roman" w:hAnsi="Times New Roman"/>
          <w:sz w:val="28"/>
        </w:rPr>
        <w:t xml:space="preserve">взысканных (уплаченных) штрафов </w:t>
      </w:r>
      <w:r>
        <w:rPr>
          <w:rFonts w:ascii="Times New Roman" w:hAnsi="Times New Roman"/>
          <w:sz w:val="28"/>
        </w:rPr>
        <w:t xml:space="preserve">составила </w:t>
      </w:r>
      <w:r>
        <w:rPr>
          <w:rFonts w:ascii="Times New Roman" w:hAnsi="Times New Roman"/>
          <w:sz w:val="28"/>
        </w:rPr>
        <w:t xml:space="preserve">349,00000</w:t>
      </w:r>
      <w:r>
        <w:rPr>
          <w:rFonts w:ascii="Times New Roman" w:hAnsi="Times New Roman"/>
          <w:sz w:val="28"/>
        </w:rPr>
        <w:t xml:space="preserve"> тыс. рублей.</w:t>
      </w:r>
      <w:bookmarkStart w:id="0" w:name="_GoBack"/>
      <w:r/>
      <w:bookmarkEnd w:id="0"/>
      <w:r/>
      <w:r>
        <w:rPr>
          <w:rFonts w:ascii="Times New Roman" w:hAnsi="Times New Roman"/>
          <w:sz w:val="28"/>
        </w:rPr>
      </w:r>
    </w:p>
    <w:p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 отчетный период объектам контроля направлено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4</w:t>
      </w:r>
      <w:r>
        <w:rPr>
          <w:rFonts w:ascii="Times New Roman" w:hAnsi="Times New Roman"/>
          <w:sz w:val="28"/>
        </w:rPr>
        <w:t xml:space="preserve"> представления</w:t>
      </w:r>
      <w:r>
        <w:rPr>
          <w:rFonts w:ascii="Times New Roman" w:hAnsi="Times New Roman"/>
          <w:sz w:val="28"/>
        </w:rPr>
        <w:t xml:space="preserve"> с требованиями об устранении нарушений и о принятии мер по устранению причин и условий их совершения</w:t>
      </w:r>
      <w:r>
        <w:rPr>
          <w:rFonts w:ascii="Times New Roman" w:hAnsi="Times New Roman"/>
          <w:sz w:val="28"/>
        </w:rPr>
        <w:t xml:space="preserve"> и </w:t>
      </w:r>
      <w:r>
        <w:rPr>
          <w:rFonts w:ascii="Times New Roman" w:hAnsi="Times New Roman"/>
          <w:sz w:val="28"/>
        </w:rPr>
        <w:t xml:space="preserve">1</w:t>
      </w:r>
      <w:r>
        <w:rPr>
          <w:rFonts w:ascii="Times New Roman" w:hAnsi="Times New Roman"/>
          <w:sz w:val="28"/>
        </w:rPr>
        <w:t xml:space="preserve"> предписани</w:t>
      </w:r>
      <w:r>
        <w:rPr>
          <w:rFonts w:ascii="Times New Roman" w:hAnsi="Times New Roman"/>
          <w:sz w:val="28"/>
        </w:rPr>
        <w:t xml:space="preserve">е</w:t>
      </w:r>
      <w:r>
        <w:rPr>
          <w:rFonts w:ascii="Times New Roman" w:hAnsi="Times New Roman"/>
          <w:sz w:val="28"/>
        </w:rPr>
        <w:t xml:space="preserve"> об устранении выявленных нарушений</w:t>
      </w:r>
      <w:r>
        <w:rPr>
          <w:rFonts w:ascii="Times New Roman" w:hAnsi="Times New Roman"/>
          <w:sz w:val="28"/>
        </w:rPr>
        <w:t xml:space="preserve">.</w:t>
      </w:r>
      <w:r>
        <w:rPr>
          <w:rFonts w:ascii="Times New Roman" w:hAnsi="Times New Roman"/>
          <w:sz w:val="28"/>
        </w:rPr>
      </w:r>
    </w:p>
    <w:p>
      <w:pPr>
        <w:jc w:val="both"/>
        <w:spacing w:line="360" w:lineRule="atLeast"/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</w:p>
    <w:sectPr>
      <w:headerReference w:type="default" r:id="rId8"/>
      <w:footnotePr/>
      <w:endnotePr/>
      <w:type w:val="nextPage"/>
      <w:pgSz w:w="12240" w:h="15840" w:orient="portrait"/>
      <w:pgMar w:top="1134" w:right="567" w:bottom="1134" w:left="1134" w:header="709" w:footer="709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2</w:t>
    </w:r>
    <w:r>
      <w:fldChar w:fldCharType="end"/>
    </w:r>
    <w:r/>
  </w:p>
  <w:p>
    <w:pPr>
      <w:pStyle w:val="682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lang w:val="ru-RU" w:eastAsia="ru-RU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71"/>
    <w:next w:val="671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72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71"/>
    <w:next w:val="671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72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71"/>
    <w:next w:val="671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72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71"/>
    <w:next w:val="671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72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71"/>
    <w:next w:val="671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72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71"/>
    <w:next w:val="671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72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71"/>
    <w:next w:val="671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72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71"/>
    <w:next w:val="671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72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71"/>
    <w:next w:val="671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72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71"/>
    <w:next w:val="671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72"/>
    <w:link w:val="34"/>
    <w:uiPriority w:val="10"/>
    <w:rPr>
      <w:sz w:val="48"/>
      <w:szCs w:val="48"/>
    </w:rPr>
  </w:style>
  <w:style w:type="paragraph" w:styleId="36">
    <w:name w:val="Subtitle"/>
    <w:basedOn w:val="671"/>
    <w:next w:val="671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72"/>
    <w:link w:val="36"/>
    <w:uiPriority w:val="11"/>
    <w:rPr>
      <w:sz w:val="24"/>
      <w:szCs w:val="24"/>
    </w:rPr>
  </w:style>
  <w:style w:type="paragraph" w:styleId="38">
    <w:name w:val="Quote"/>
    <w:basedOn w:val="671"/>
    <w:next w:val="671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71"/>
    <w:next w:val="671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72"/>
    <w:link w:val="682"/>
    <w:uiPriority w:val="99"/>
  </w:style>
  <w:style w:type="character" w:styleId="45">
    <w:name w:val="Footer Char"/>
    <w:basedOn w:val="672"/>
    <w:link w:val="684"/>
    <w:uiPriority w:val="99"/>
  </w:style>
  <w:style w:type="paragraph" w:styleId="46">
    <w:name w:val="Caption"/>
    <w:basedOn w:val="671"/>
    <w:next w:val="671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72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7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7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7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71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72"/>
    <w:uiPriority w:val="99"/>
    <w:unhideWhenUsed/>
    <w:rPr>
      <w:vertAlign w:val="superscript"/>
    </w:rPr>
  </w:style>
  <w:style w:type="paragraph" w:styleId="178">
    <w:name w:val="endnote text"/>
    <w:basedOn w:val="671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72"/>
    <w:uiPriority w:val="99"/>
    <w:semiHidden/>
    <w:unhideWhenUsed/>
    <w:rPr>
      <w:vertAlign w:val="superscript"/>
    </w:rPr>
  </w:style>
  <w:style w:type="paragraph" w:styleId="181">
    <w:name w:val="toc 1"/>
    <w:basedOn w:val="671"/>
    <w:next w:val="671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71"/>
    <w:next w:val="671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71"/>
    <w:next w:val="671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71"/>
    <w:next w:val="671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71"/>
    <w:next w:val="671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71"/>
    <w:next w:val="671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71"/>
    <w:next w:val="671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71"/>
    <w:next w:val="671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71"/>
    <w:next w:val="671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71"/>
    <w:next w:val="671"/>
    <w:uiPriority w:val="99"/>
    <w:unhideWhenUsed/>
    <w:pPr>
      <w:spacing w:after="0" w:afterAutospacing="0"/>
    </w:pPr>
  </w:style>
  <w:style w:type="paragraph" w:styleId="671" w:default="1">
    <w:name w:val="Normal"/>
    <w:qFormat/>
    <w:pPr>
      <w:spacing w:after="0" w:line="240" w:lineRule="auto"/>
      <w:widowControl w:val="off"/>
    </w:pPr>
    <w:rPr>
      <w:rFonts w:ascii="Calibri" w:hAnsi="Calibri"/>
    </w:rPr>
  </w:style>
  <w:style w:type="character" w:styleId="672" w:default="1">
    <w:name w:val="Default Paragraph Font"/>
    <w:uiPriority w:val="1"/>
    <w:semiHidden/>
    <w:unhideWhenUsed/>
  </w:style>
  <w:style w:type="table" w:styleId="67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4" w:default="1">
    <w:name w:val="No List"/>
    <w:uiPriority w:val="99"/>
    <w:semiHidden/>
    <w:unhideWhenUsed/>
  </w:style>
  <w:style w:type="paragraph" w:styleId="675">
    <w:name w:val="Body Text Indent"/>
    <w:basedOn w:val="671"/>
    <w:link w:val="676"/>
    <w:uiPriority w:val="99"/>
    <w:pPr>
      <w:ind w:left="283"/>
      <w:spacing w:after="120" w:line="275" w:lineRule="auto"/>
    </w:pPr>
    <w:rPr>
      <w:rFonts w:ascii="Times New Roman" w:hAnsi="Times New Roman"/>
      <w:lang w:val="en-US" w:eastAsia="en-US"/>
    </w:rPr>
  </w:style>
  <w:style w:type="character" w:styleId="676" w:customStyle="1">
    <w:name w:val="Основной текст с отступом Знак"/>
    <w:basedOn w:val="672"/>
    <w:link w:val="675"/>
    <w:uiPriority w:val="99"/>
    <w:semiHidden/>
    <w:rPr>
      <w:rFonts w:ascii="Calibri" w:hAnsi="Calibri" w:cs="Times New Roman"/>
    </w:rPr>
  </w:style>
  <w:style w:type="paragraph" w:styleId="677">
    <w:name w:val="List Paragraph"/>
    <w:basedOn w:val="671"/>
    <w:uiPriority w:val="99"/>
    <w:qFormat/>
    <w:pPr>
      <w:ind w:left="720"/>
      <w:spacing w:line="275" w:lineRule="auto"/>
    </w:pPr>
    <w:rPr>
      <w:rFonts w:ascii="Times New Roman" w:hAnsi="Times New Roman"/>
      <w:lang w:val="en-US" w:eastAsia="en-US"/>
    </w:rPr>
  </w:style>
  <w:style w:type="character" w:styleId="678">
    <w:name w:val="line number"/>
    <w:basedOn w:val="672"/>
    <w:uiPriority w:val="99"/>
    <w:rPr>
      <w:rFonts w:cs="Times New Roman"/>
      <w:sz w:val="22"/>
      <w:szCs w:val="22"/>
    </w:rPr>
  </w:style>
  <w:style w:type="character" w:styleId="679">
    <w:name w:val="Hyperlink"/>
    <w:basedOn w:val="672"/>
    <w:uiPriority w:val="99"/>
    <w:rPr>
      <w:rFonts w:cs="Times New Roman"/>
      <w:color w:val="0000ff"/>
      <w:sz w:val="22"/>
      <w:szCs w:val="22"/>
      <w:u w:val="single"/>
    </w:rPr>
  </w:style>
  <w:style w:type="table" w:styleId="680">
    <w:name w:val="Table Simple 1"/>
    <w:basedOn w:val="673"/>
    <w:uiPriority w:val="99"/>
    <w:pPr>
      <w:spacing w:after="0" w:line="240" w:lineRule="auto"/>
      <w:widowControl w:val="off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0" w:type="dxa"/>
        <w:right w:w="0" w:type="dxa"/>
      </w:tblCellMar>
    </w:tblPr>
  </w:style>
  <w:style w:type="table" w:styleId="681">
    <w:name w:val="Table Grid"/>
    <w:basedOn w:val="673"/>
    <w:uiPriority w:val="99"/>
    <w:pPr>
      <w:spacing w:after="0" w:line="240" w:lineRule="auto"/>
      <w:widowControl w:val="off"/>
    </w:pPr>
    <w:rPr>
      <w:rFonts w:ascii="Calibri" w:hAnsi="Calibri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0" w:type="dxa"/>
        <w:right w:w="0" w:type="dxa"/>
      </w:tblCellMar>
    </w:tblPr>
  </w:style>
  <w:style w:type="paragraph" w:styleId="682">
    <w:name w:val="Header"/>
    <w:basedOn w:val="671"/>
    <w:link w:val="68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83" w:customStyle="1">
    <w:name w:val="Верхний колонтитул Знак"/>
    <w:basedOn w:val="672"/>
    <w:link w:val="682"/>
    <w:uiPriority w:val="99"/>
    <w:rPr>
      <w:rFonts w:ascii="Calibri" w:hAnsi="Calibri" w:cs="Times New Roman"/>
    </w:rPr>
  </w:style>
  <w:style w:type="paragraph" w:styleId="684">
    <w:name w:val="Footer"/>
    <w:basedOn w:val="671"/>
    <w:link w:val="68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85" w:customStyle="1">
    <w:name w:val="Нижний колонтитул Знак"/>
    <w:basedOn w:val="672"/>
    <w:link w:val="684"/>
    <w:uiPriority w:val="99"/>
    <w:rPr>
      <w:rFonts w:ascii="Calibri" w:hAnsi="Calibri" w:cs="Times New Roma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Алексеева Анастасия Юрьевна</dc:creator>
  <cp:keywords/>
  <dc:description/>
  <cp:lastModifiedBy>Аноним</cp:lastModifiedBy>
  <cp:revision>8</cp:revision>
  <dcterms:created xsi:type="dcterms:W3CDTF">2026-04-16T14:22:00Z</dcterms:created>
  <dcterms:modified xsi:type="dcterms:W3CDTF">2026-07-22T12:11:36Z</dcterms:modified>
</cp:coreProperties>
</file>